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8A4D7F" w14:textId="77777777" w:rsidR="0050241E" w:rsidRDefault="00000000">
      <w:pPr>
        <w:spacing w:line="276" w:lineRule="auto"/>
      </w:pPr>
      <w:r>
        <w:rPr>
          <w:sz w:val="18"/>
          <w:szCs w:val="18"/>
        </w:rPr>
        <w:t>Société de gestion de portefeuille agréée par l’AMF sous le n° GP-08000016</w:t>
      </w:r>
    </w:p>
    <w:p w14:paraId="3CCBBAE8" w14:textId="77777777" w:rsidR="0050241E" w:rsidRDefault="0050241E">
      <w:pPr>
        <w:pBdr>
          <w:bottom w:val="single" w:sz="6" w:space="1" w:color="1F3864"/>
        </w:pBdr>
        <w:spacing w:before="200" w:after="300"/>
      </w:pPr>
    </w:p>
    <w:p w14:paraId="6ECE31D7" w14:textId="77777777" w:rsidR="0050241E" w:rsidRDefault="00000000">
      <w:pPr>
        <w:spacing w:after="80" w:line="276" w:lineRule="auto"/>
        <w:jc w:val="center"/>
      </w:pPr>
      <w:r>
        <w:rPr>
          <w:b/>
          <w:bCs/>
          <w:color w:val="1F3864"/>
          <w:sz w:val="26"/>
          <w:szCs w:val="26"/>
        </w:rPr>
        <w:t>AVIS AUX INVESTISSEURS</w:t>
      </w:r>
    </w:p>
    <w:p w14:paraId="775B03F5" w14:textId="5F832B3E" w:rsidR="0050241E" w:rsidRDefault="00000000">
      <w:pPr>
        <w:spacing w:after="320" w:line="276" w:lineRule="auto"/>
        <w:jc w:val="center"/>
      </w:pPr>
      <w:r>
        <w:rPr>
          <w:b/>
          <w:bCs/>
          <w:sz w:val="22"/>
          <w:szCs w:val="22"/>
        </w:rPr>
        <w:t>Cessation de la commercialisation des parts du FPCI SERENA IV en Belgique et au Luxembourg</w:t>
      </w:r>
    </w:p>
    <w:p w14:paraId="79B3BBC5" w14:textId="66DDA155" w:rsidR="0050241E" w:rsidRDefault="00000000">
      <w:pPr>
        <w:spacing w:after="140" w:line="276" w:lineRule="auto"/>
        <w:jc w:val="both"/>
      </w:pPr>
      <w:r>
        <w:t xml:space="preserve">SERENA CAPITAL, société par actions simplifiée dont le siège social est situé </w:t>
      </w:r>
      <w:r w:rsidR="0079168F">
        <w:t xml:space="preserve">au </w:t>
      </w:r>
      <w:r>
        <w:t>21 rue Auber, 75009 Paris, société de gestion de portefeuille agréée par l’Autorité des marchés financiers sous le numéro GP-08000016, informe le public de ce qui suit.</w:t>
      </w:r>
    </w:p>
    <w:p w14:paraId="7F3778D0" w14:textId="77777777" w:rsidR="0050241E" w:rsidRDefault="00000000">
      <w:pPr>
        <w:spacing w:after="140" w:line="276" w:lineRule="auto"/>
        <w:jc w:val="both"/>
      </w:pPr>
      <w:r>
        <w:t>La période de souscription du fonds professionnel de capital investissement SERENA IV (le « Fonds ») a pris fin le 29 juillet 2026.</w:t>
      </w:r>
    </w:p>
    <w:p w14:paraId="0E22B455" w14:textId="0766BDDE" w:rsidR="0050241E" w:rsidRDefault="00000000">
      <w:pPr>
        <w:spacing w:after="140" w:line="276" w:lineRule="auto"/>
        <w:jc w:val="both"/>
      </w:pPr>
      <w:r>
        <w:t>SERENA CAPITAL met en conséquence un terme aux modalités prévues pour la commercialisation des parts du Fonds en Belgique et au</w:t>
      </w:r>
      <w:r w:rsidR="0079168F">
        <w:t xml:space="preserve"> </w:t>
      </w:r>
      <w:r>
        <w:t>Luxembourg, États dans lesquels le Fonds avait été notifié à la commercialisation auprès d’investisseurs professionnels depuis le 16 mai 2023. Une notification de retrait a été soumise à cet effet à l’Autorité des marchés financiers, en application de l’article 421-14-1 de son règlement général.</w:t>
      </w:r>
    </w:p>
    <w:p w14:paraId="646CE297" w14:textId="77777777" w:rsidR="0050241E" w:rsidRDefault="00000000">
      <w:pPr>
        <w:spacing w:after="140" w:line="276" w:lineRule="auto"/>
        <w:jc w:val="both"/>
      </w:pPr>
      <w:r>
        <w:t>À compter du 29 juillet 2026, SERENA CAPITAL ne mène plus aucune activité, directe ou indirecte, d’offre ou de placement des parts du Fonds en Belgique ou au Grand-Duché de Luxembourg.</w:t>
      </w:r>
    </w:p>
    <w:p w14:paraId="403DA029" w14:textId="77777777" w:rsidR="0050241E" w:rsidRDefault="00000000">
      <w:pPr>
        <w:spacing w:after="140" w:line="276" w:lineRule="auto"/>
        <w:jc w:val="both"/>
      </w:pPr>
      <w:r>
        <w:t>Le Fonds étant un FIA de type fermé, dont le règlement exclut toute demande de rachat de parts par les porteurs pendant sa durée de vie, aucune offre de rachat ou de remboursement n’est requise ni proposée aux porteurs de parts à l’occasion de ce retrait.</w:t>
      </w:r>
    </w:p>
    <w:p w14:paraId="17360E8D" w14:textId="77777777" w:rsidR="0050241E" w:rsidRDefault="00000000">
      <w:pPr>
        <w:spacing w:after="140" w:line="276" w:lineRule="auto"/>
        <w:jc w:val="both"/>
      </w:pPr>
      <w:r>
        <w:t>Les porteurs de parts existants conservent l’intégralité de leurs droits au titre du règlement du Fonds. Ils continueront de recevoir les informations prévues à l’article L. 214-24-19 du code monétaire et financier selon les modalités habituelles.</w:t>
      </w:r>
    </w:p>
    <w:p w14:paraId="12DE221A" w14:textId="4B9DE1F5" w:rsidR="0050241E" w:rsidRDefault="00000000" w:rsidP="0079168F">
      <w:pPr>
        <w:spacing w:after="140" w:line="276" w:lineRule="auto"/>
        <w:jc w:val="both"/>
      </w:pPr>
      <w:r>
        <w:t>La présente cessation de commercialisation est sans incidence sur la gestion du Fonds, sur son portefeuille et sur sa durée de vie.</w:t>
      </w:r>
    </w:p>
    <w:p w14:paraId="6ECF0979" w14:textId="77777777" w:rsidR="0050241E" w:rsidRDefault="00000000">
      <w:pPr>
        <w:spacing w:after="140" w:line="276" w:lineRule="auto"/>
        <w:jc w:val="both"/>
      </w:pPr>
      <w:r>
        <w:rPr>
          <w:i/>
          <w:iCs/>
          <w:sz w:val="19"/>
          <w:szCs w:val="19"/>
        </w:rPr>
        <w:t>Le présent avis constitue une information réglementaire publiée en application du 2° du I de l’article 421-14-1 du règlement général de l’Autorité des marchés financiers. Il ne constitue ni une offre, ni une sollicitation, ni une recommandation d’investissement, et ne comporte aucune communication à caractère promotionnel relative au Fonds. Les parts du Fonds, réservées aux investisseurs mentionnés à l’article 423-49 du règlement général de l’Autorité des marchés financiers, ne peuvent plus être souscrites.</w:t>
      </w:r>
    </w:p>
    <w:p w14:paraId="17AB527B" w14:textId="77777777" w:rsidR="0050241E" w:rsidRDefault="0050241E">
      <w:pPr>
        <w:spacing w:after="200"/>
      </w:pPr>
    </w:p>
    <w:p w14:paraId="22880556" w14:textId="64941EB3" w:rsidR="0050241E" w:rsidRDefault="00000000">
      <w:pPr>
        <w:spacing w:after="320" w:line="276" w:lineRule="auto"/>
      </w:pPr>
      <w:r>
        <w:t xml:space="preserve">Fait à Paris, le </w:t>
      </w:r>
      <w:r w:rsidR="0079168F" w:rsidRPr="0079168F">
        <w:t>4 Août 2026</w:t>
      </w:r>
    </w:p>
    <w:p w14:paraId="5741871D" w14:textId="77777777" w:rsidR="0050241E" w:rsidRDefault="00000000">
      <w:pPr>
        <w:spacing w:line="276" w:lineRule="auto"/>
      </w:pPr>
      <w:r>
        <w:rPr>
          <w:b/>
          <w:bCs/>
        </w:rPr>
        <w:t>SERENA CAPITAL</w:t>
      </w:r>
    </w:p>
    <w:p w14:paraId="07E93955" w14:textId="77777777" w:rsidR="0050241E" w:rsidRDefault="00000000">
      <w:pPr>
        <w:spacing w:line="276" w:lineRule="auto"/>
      </w:pPr>
      <w:r>
        <w:t>La Société de gestion</w:t>
      </w:r>
    </w:p>
    <w:sectPr w:rsidR="0050241E" w:rsidSect="0079168F">
      <w:headerReference w:type="default" r:id="rId7"/>
      <w:pgSz w:w="11906" w:h="16838"/>
      <w:pgMar w:top="1298" w:right="1440" w:bottom="1298"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6028BE" w14:textId="77777777" w:rsidR="007B2AC6" w:rsidRDefault="007B2AC6" w:rsidP="0079168F">
      <w:r>
        <w:separator/>
      </w:r>
    </w:p>
  </w:endnote>
  <w:endnote w:type="continuationSeparator" w:id="0">
    <w:p w14:paraId="7BF9F240" w14:textId="77777777" w:rsidR="007B2AC6" w:rsidRDefault="007B2AC6" w:rsidP="0079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0118F6" w14:textId="77777777" w:rsidR="007B2AC6" w:rsidRDefault="007B2AC6" w:rsidP="0079168F">
      <w:r>
        <w:separator/>
      </w:r>
    </w:p>
  </w:footnote>
  <w:footnote w:type="continuationSeparator" w:id="0">
    <w:p w14:paraId="6A805A52" w14:textId="77777777" w:rsidR="007B2AC6" w:rsidRDefault="007B2AC6" w:rsidP="00791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C879C8" w14:textId="0214F3B8" w:rsidR="0079168F" w:rsidRDefault="0079168F">
    <w:pPr>
      <w:pStyle w:val="En-tte"/>
    </w:pPr>
    <w:r>
      <w:rPr>
        <w:rFonts w:ascii="Arial" w:hAnsi="Arial" w:cs="Arial"/>
        <w:noProof/>
        <w:color w:val="000000"/>
      </w:rPr>
      <w:drawing>
        <wp:inline distT="0" distB="0" distL="0" distR="0" wp14:anchorId="78D67A22" wp14:editId="57187592">
          <wp:extent cx="1537970" cy="257810"/>
          <wp:effectExtent l="0" t="0" r="0" b="0"/>
          <wp:docPr id="14642886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970" cy="2578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6E778B"/>
    <w:multiLevelType w:val="hybridMultilevel"/>
    <w:tmpl w:val="D7C07F5E"/>
    <w:lvl w:ilvl="0" w:tplc="CC8EF1D0">
      <w:start w:val="1"/>
      <w:numFmt w:val="bullet"/>
      <w:lvlText w:val="●"/>
      <w:lvlJc w:val="left"/>
      <w:pPr>
        <w:ind w:left="720" w:hanging="360"/>
      </w:pPr>
    </w:lvl>
    <w:lvl w:ilvl="1" w:tplc="66FAF89C">
      <w:start w:val="1"/>
      <w:numFmt w:val="bullet"/>
      <w:lvlText w:val="○"/>
      <w:lvlJc w:val="left"/>
      <w:pPr>
        <w:ind w:left="1440" w:hanging="360"/>
      </w:pPr>
    </w:lvl>
    <w:lvl w:ilvl="2" w:tplc="06CE89C8">
      <w:start w:val="1"/>
      <w:numFmt w:val="bullet"/>
      <w:lvlText w:val="■"/>
      <w:lvlJc w:val="left"/>
      <w:pPr>
        <w:ind w:left="2160" w:hanging="360"/>
      </w:pPr>
    </w:lvl>
    <w:lvl w:ilvl="3" w:tplc="37307748">
      <w:start w:val="1"/>
      <w:numFmt w:val="bullet"/>
      <w:lvlText w:val="●"/>
      <w:lvlJc w:val="left"/>
      <w:pPr>
        <w:ind w:left="2880" w:hanging="360"/>
      </w:pPr>
    </w:lvl>
    <w:lvl w:ilvl="4" w:tplc="97BEEB26">
      <w:start w:val="1"/>
      <w:numFmt w:val="bullet"/>
      <w:lvlText w:val="○"/>
      <w:lvlJc w:val="left"/>
      <w:pPr>
        <w:ind w:left="3600" w:hanging="360"/>
      </w:pPr>
    </w:lvl>
    <w:lvl w:ilvl="5" w:tplc="91863508">
      <w:start w:val="1"/>
      <w:numFmt w:val="bullet"/>
      <w:lvlText w:val="■"/>
      <w:lvlJc w:val="left"/>
      <w:pPr>
        <w:ind w:left="4320" w:hanging="360"/>
      </w:pPr>
    </w:lvl>
    <w:lvl w:ilvl="6" w:tplc="ED6A81A2">
      <w:start w:val="1"/>
      <w:numFmt w:val="bullet"/>
      <w:lvlText w:val="●"/>
      <w:lvlJc w:val="left"/>
      <w:pPr>
        <w:ind w:left="5040" w:hanging="360"/>
      </w:pPr>
    </w:lvl>
    <w:lvl w:ilvl="7" w:tplc="BDAE655C">
      <w:start w:val="1"/>
      <w:numFmt w:val="bullet"/>
      <w:lvlText w:val="●"/>
      <w:lvlJc w:val="left"/>
      <w:pPr>
        <w:ind w:left="5760" w:hanging="360"/>
      </w:pPr>
    </w:lvl>
    <w:lvl w:ilvl="8" w:tplc="E5CE951E">
      <w:start w:val="1"/>
      <w:numFmt w:val="bullet"/>
      <w:lvlText w:val="●"/>
      <w:lvlJc w:val="left"/>
      <w:pPr>
        <w:ind w:left="6480" w:hanging="360"/>
      </w:pPr>
    </w:lvl>
  </w:abstractNum>
  <w:num w:numId="1" w16cid:durableId="187098943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E"/>
    <w:rsid w:val="0050241E"/>
    <w:rsid w:val="0079168F"/>
    <w:rsid w:val="007B2AC6"/>
    <w:rsid w:val="00F52A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3839C25"/>
  <w15:docId w15:val="{DC9BBE2A-5A70-DC47-B92F-F9AEFEE6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1"/>
        <w:szCs w:val="21"/>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79168F"/>
    <w:pPr>
      <w:tabs>
        <w:tab w:val="center" w:pos="4536"/>
        <w:tab w:val="right" w:pos="9072"/>
      </w:tabs>
    </w:pPr>
  </w:style>
  <w:style w:type="character" w:customStyle="1" w:styleId="En-tteCar">
    <w:name w:val="En-tête Car"/>
    <w:basedOn w:val="Policepardfaut"/>
    <w:link w:val="En-tte"/>
    <w:uiPriority w:val="99"/>
    <w:rsid w:val="0079168F"/>
  </w:style>
  <w:style w:type="paragraph" w:styleId="Pieddepage">
    <w:name w:val="footer"/>
    <w:basedOn w:val="Normal"/>
    <w:link w:val="PieddepageCar"/>
    <w:uiPriority w:val="99"/>
    <w:unhideWhenUsed/>
    <w:rsid w:val="0079168F"/>
    <w:pPr>
      <w:tabs>
        <w:tab w:val="center" w:pos="4536"/>
        <w:tab w:val="right" w:pos="9072"/>
      </w:tabs>
    </w:pPr>
  </w:style>
  <w:style w:type="character" w:customStyle="1" w:styleId="PieddepageCar">
    <w:name w:val="Pied de page Car"/>
    <w:basedOn w:val="Policepardfaut"/>
    <w:link w:val="Pieddepage"/>
    <w:uiPriority w:val="99"/>
    <w:rsid w:val="00791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368</Words>
  <Characters>2030</Characters>
  <Application>Microsoft Office Word</Application>
  <DocSecurity>0</DocSecurity>
  <Lines>16</Lines>
  <Paragraphs>4</Paragraphs>
  <ScaleCrop>false</ScaleCrop>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Martin BAYOUT</cp:lastModifiedBy>
  <cp:revision>2</cp:revision>
  <dcterms:created xsi:type="dcterms:W3CDTF">2026-08-04T09:32:00Z</dcterms:created>
  <dcterms:modified xsi:type="dcterms:W3CDTF">2026-08-04T09:32:00Z</dcterms:modified>
</cp:coreProperties>
</file>